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83" w:rsidRDefault="00E17C83" w:rsidP="00994AF8">
      <w:pPr>
        <w:tabs>
          <w:tab w:val="left" w:pos="2805"/>
        </w:tabs>
      </w:pPr>
    </w:p>
    <w:p w:rsidR="00FE5691" w:rsidRPr="00160338" w:rsidRDefault="00FE5691" w:rsidP="00FE5691">
      <w:pPr>
        <w:rPr>
          <w:b/>
          <w:sz w:val="28"/>
          <w:szCs w:val="20"/>
        </w:rPr>
      </w:pPr>
      <w:r w:rsidRPr="00160338">
        <w:rPr>
          <w:b/>
          <w:sz w:val="28"/>
          <w:szCs w:val="20"/>
        </w:rPr>
        <w:t>Regrooving of truck and bus tyres</w:t>
      </w:r>
    </w:p>
    <w:p w:rsidR="00FE5691" w:rsidRPr="00160338" w:rsidRDefault="00FE5691" w:rsidP="00FE5691">
      <w:pPr>
        <w:rPr>
          <w:b/>
          <w:sz w:val="24"/>
          <w:szCs w:val="20"/>
        </w:rPr>
      </w:pPr>
      <w:r w:rsidRPr="00160338">
        <w:rPr>
          <w:b/>
          <w:sz w:val="24"/>
          <w:szCs w:val="20"/>
        </w:rPr>
        <w:t>Applicable Regulations</w:t>
      </w:r>
    </w:p>
    <w:p w:rsidR="00FE5691" w:rsidRPr="008D3A6B" w:rsidRDefault="00FE5691" w:rsidP="00FE5691">
      <w:pPr>
        <w:jc w:val="both"/>
        <w:rPr>
          <w:szCs w:val="20"/>
        </w:rPr>
      </w:pPr>
      <w:r w:rsidRPr="008D3A6B">
        <w:rPr>
          <w:szCs w:val="20"/>
        </w:rPr>
        <w:t>Construction and Use Regulations 24 and 27 apply. Only tyres identified on the sidewall</w:t>
      </w:r>
      <w:r>
        <w:rPr>
          <w:szCs w:val="20"/>
        </w:rPr>
        <w:t xml:space="preserve"> </w:t>
      </w:r>
      <w:r w:rsidRPr="008D3A6B">
        <w:rPr>
          <w:szCs w:val="20"/>
        </w:rPr>
        <w:t xml:space="preserve">as regroovable may legally be regrooved. </w:t>
      </w:r>
      <w:r>
        <w:rPr>
          <w:szCs w:val="20"/>
        </w:rPr>
        <w:t xml:space="preserve"> </w:t>
      </w:r>
      <w:r w:rsidRPr="008D3A6B">
        <w:rPr>
          <w:szCs w:val="20"/>
        </w:rPr>
        <w:t>This applies to both new and retreaded tyres.</w:t>
      </w:r>
      <w:r>
        <w:rPr>
          <w:szCs w:val="20"/>
        </w:rPr>
        <w:t xml:space="preserve"> </w:t>
      </w:r>
      <w:r w:rsidRPr="008D3A6B">
        <w:rPr>
          <w:szCs w:val="20"/>
        </w:rPr>
        <w:t xml:space="preserve"> It</w:t>
      </w:r>
      <w:r>
        <w:rPr>
          <w:szCs w:val="20"/>
        </w:rPr>
        <w:t xml:space="preserve"> </w:t>
      </w:r>
      <w:r w:rsidRPr="008D3A6B">
        <w:rPr>
          <w:szCs w:val="20"/>
        </w:rPr>
        <w:t>is also a legal requirement that any regrooving must follow the pattern specified by the</w:t>
      </w:r>
      <w:r>
        <w:rPr>
          <w:szCs w:val="20"/>
        </w:rPr>
        <w:t xml:space="preserve"> </w:t>
      </w:r>
      <w:r w:rsidRPr="008D3A6B">
        <w:rPr>
          <w:szCs w:val="20"/>
        </w:rPr>
        <w:t xml:space="preserve">manufacturer. </w:t>
      </w:r>
      <w:r>
        <w:rPr>
          <w:szCs w:val="20"/>
        </w:rPr>
        <w:t xml:space="preserve"> </w:t>
      </w:r>
      <w:r w:rsidRPr="008D3A6B">
        <w:rPr>
          <w:szCs w:val="20"/>
        </w:rPr>
        <w:t>If the tyre cords are exposed as a result of regrooving the tyre is no longer</w:t>
      </w:r>
      <w:r>
        <w:rPr>
          <w:szCs w:val="20"/>
        </w:rPr>
        <w:t xml:space="preserve"> </w:t>
      </w:r>
      <w:r w:rsidRPr="008D3A6B">
        <w:rPr>
          <w:szCs w:val="20"/>
        </w:rPr>
        <w:t>legal and must be withdrawn from service.</w:t>
      </w:r>
    </w:p>
    <w:p w:rsidR="00FE5691" w:rsidRPr="00160338" w:rsidRDefault="00FE5691" w:rsidP="00FE5691">
      <w:pPr>
        <w:jc w:val="both"/>
        <w:rPr>
          <w:b/>
          <w:sz w:val="24"/>
          <w:szCs w:val="20"/>
        </w:rPr>
      </w:pPr>
      <w:r w:rsidRPr="00160338">
        <w:rPr>
          <w:b/>
          <w:sz w:val="24"/>
          <w:szCs w:val="20"/>
        </w:rPr>
        <w:t>Basic principles</w:t>
      </w:r>
    </w:p>
    <w:p w:rsidR="00FE5691" w:rsidRDefault="00FE5691" w:rsidP="00FE5691">
      <w:pPr>
        <w:jc w:val="both"/>
        <w:rPr>
          <w:szCs w:val="20"/>
        </w:rPr>
      </w:pPr>
      <w:r>
        <w:rPr>
          <w:noProof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1200785</wp:posOffset>
            </wp:positionV>
            <wp:extent cx="3209925" cy="2114550"/>
            <wp:effectExtent l="19050" t="0" r="9525" b="0"/>
            <wp:wrapTight wrapText="bothSides">
              <wp:wrapPolygon edited="0">
                <wp:start x="-128" y="0"/>
                <wp:lineTo x="-128" y="21405"/>
                <wp:lineTo x="21664" y="21405"/>
                <wp:lineTo x="21664" y="0"/>
                <wp:lineTo x="-12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A6B">
        <w:rPr>
          <w:szCs w:val="20"/>
        </w:rPr>
        <w:t>The regrooving operation consists of cutting into the tread of a tyre a tread pattern</w:t>
      </w:r>
      <w:r>
        <w:rPr>
          <w:szCs w:val="20"/>
        </w:rPr>
        <w:t xml:space="preserve"> </w:t>
      </w:r>
      <w:r w:rsidRPr="008D3A6B">
        <w:rPr>
          <w:szCs w:val="20"/>
        </w:rPr>
        <w:t>deeper than the original, so as to prolong the tyre’s useful life.</w:t>
      </w:r>
      <w:r>
        <w:rPr>
          <w:szCs w:val="20"/>
        </w:rPr>
        <w:t xml:space="preserve"> </w:t>
      </w:r>
      <w:r w:rsidRPr="008D3A6B">
        <w:rPr>
          <w:szCs w:val="20"/>
        </w:rPr>
        <w:t xml:space="preserve"> When regrooving, it is</w:t>
      </w:r>
      <w:r>
        <w:rPr>
          <w:szCs w:val="20"/>
        </w:rPr>
        <w:t xml:space="preserve"> </w:t>
      </w:r>
      <w:r w:rsidRPr="008D3A6B">
        <w:rPr>
          <w:szCs w:val="20"/>
        </w:rPr>
        <w:t>of fundamental importance to avoid exposing the upper belts of the tyre, and to ensure</w:t>
      </w:r>
      <w:r>
        <w:rPr>
          <w:szCs w:val="20"/>
        </w:rPr>
        <w:t xml:space="preserve"> </w:t>
      </w:r>
      <w:r w:rsidRPr="008D3A6B">
        <w:rPr>
          <w:szCs w:val="20"/>
        </w:rPr>
        <w:t xml:space="preserve">that an adequate layer of rubber is left to protect them. </w:t>
      </w:r>
      <w:r>
        <w:rPr>
          <w:szCs w:val="20"/>
        </w:rPr>
        <w:t xml:space="preserve"> </w:t>
      </w:r>
      <w:r w:rsidRPr="008D3A6B">
        <w:rPr>
          <w:szCs w:val="20"/>
        </w:rPr>
        <w:t>Tyre manufactures supply specific</w:t>
      </w:r>
      <w:r>
        <w:rPr>
          <w:szCs w:val="20"/>
        </w:rPr>
        <w:t xml:space="preserve"> </w:t>
      </w:r>
      <w:r w:rsidRPr="008D3A6B">
        <w:rPr>
          <w:szCs w:val="20"/>
        </w:rPr>
        <w:t>instructions regarding the patterns and procedures to follow in the regrooving of tyre</w:t>
      </w:r>
      <w:r>
        <w:rPr>
          <w:szCs w:val="20"/>
        </w:rPr>
        <w:t xml:space="preserve"> </w:t>
      </w:r>
      <w:r w:rsidRPr="008D3A6B">
        <w:rPr>
          <w:szCs w:val="20"/>
        </w:rPr>
        <w:t xml:space="preserve">treads. </w:t>
      </w:r>
      <w:r>
        <w:rPr>
          <w:szCs w:val="20"/>
        </w:rPr>
        <w:t xml:space="preserve"> </w:t>
      </w:r>
      <w:r w:rsidRPr="008D3A6B">
        <w:rPr>
          <w:szCs w:val="20"/>
        </w:rPr>
        <w:t>These include recommended groove widths and the depth of rubber to remove</w:t>
      </w:r>
      <w:r>
        <w:rPr>
          <w:szCs w:val="20"/>
        </w:rPr>
        <w:t xml:space="preserve"> </w:t>
      </w:r>
      <w:r w:rsidRPr="008D3A6B">
        <w:rPr>
          <w:szCs w:val="20"/>
        </w:rPr>
        <w:t>from the base of the original grooves.</w:t>
      </w:r>
      <w:r>
        <w:rPr>
          <w:szCs w:val="20"/>
        </w:rPr>
        <w:t xml:space="preserve"> </w:t>
      </w:r>
    </w:p>
    <w:p w:rsidR="00FE5691" w:rsidRDefault="00FE5691" w:rsidP="00FE5691">
      <w:pPr>
        <w:jc w:val="both"/>
        <w:rPr>
          <w:szCs w:val="20"/>
        </w:rPr>
      </w:pPr>
      <w:r w:rsidRPr="008D3A6B">
        <w:rPr>
          <w:szCs w:val="20"/>
        </w:rPr>
        <w:t>Regrooving should normally be carried out</w:t>
      </w:r>
      <w:r>
        <w:rPr>
          <w:szCs w:val="20"/>
        </w:rPr>
        <w:t xml:space="preserve"> </w:t>
      </w:r>
      <w:r w:rsidRPr="008D3A6B">
        <w:rPr>
          <w:szCs w:val="20"/>
        </w:rPr>
        <w:t>on the entire tread according to the</w:t>
      </w:r>
      <w:r>
        <w:rPr>
          <w:szCs w:val="20"/>
        </w:rPr>
        <w:t xml:space="preserve"> </w:t>
      </w:r>
      <w:r w:rsidRPr="008D3A6B">
        <w:rPr>
          <w:szCs w:val="20"/>
        </w:rPr>
        <w:t>recommended pattern and procedure.</w:t>
      </w:r>
      <w:r>
        <w:rPr>
          <w:szCs w:val="20"/>
        </w:rPr>
        <w:t xml:space="preserve">  </w:t>
      </w:r>
      <w:r w:rsidRPr="008D3A6B">
        <w:rPr>
          <w:szCs w:val="20"/>
        </w:rPr>
        <w:t>However, where a tyre has worn abnormally,</w:t>
      </w:r>
      <w:r>
        <w:rPr>
          <w:szCs w:val="20"/>
        </w:rPr>
        <w:t xml:space="preserve"> </w:t>
      </w:r>
      <w:r w:rsidRPr="008D3A6B">
        <w:rPr>
          <w:szCs w:val="20"/>
        </w:rPr>
        <w:t>it may be possible to regroove just that part</w:t>
      </w:r>
      <w:r>
        <w:rPr>
          <w:szCs w:val="20"/>
        </w:rPr>
        <w:t xml:space="preserve"> </w:t>
      </w:r>
      <w:r w:rsidRPr="008D3A6B">
        <w:rPr>
          <w:szCs w:val="20"/>
        </w:rPr>
        <w:t>of the worn tyre, provided a sufficient</w:t>
      </w:r>
      <w:r>
        <w:rPr>
          <w:szCs w:val="20"/>
        </w:rPr>
        <w:t xml:space="preserve"> </w:t>
      </w:r>
      <w:r w:rsidRPr="008D3A6B">
        <w:rPr>
          <w:szCs w:val="20"/>
        </w:rPr>
        <w:t>portion of the original groove is visible</w:t>
      </w:r>
      <w:r>
        <w:rPr>
          <w:szCs w:val="20"/>
        </w:rPr>
        <w:t xml:space="preserve"> </w:t>
      </w:r>
      <w:r w:rsidRPr="008D3A6B">
        <w:rPr>
          <w:szCs w:val="20"/>
        </w:rPr>
        <w:t>before regrooving.</w:t>
      </w:r>
      <w:r>
        <w:rPr>
          <w:szCs w:val="20"/>
        </w:rPr>
        <w:t xml:space="preserve">  </w:t>
      </w:r>
      <w:r w:rsidRPr="008D3A6B">
        <w:rPr>
          <w:szCs w:val="20"/>
        </w:rPr>
        <w:t>Clearly, this precludes</w:t>
      </w:r>
      <w:r>
        <w:rPr>
          <w:szCs w:val="20"/>
        </w:rPr>
        <w:t xml:space="preserve"> </w:t>
      </w:r>
      <w:r w:rsidRPr="008D3A6B">
        <w:rPr>
          <w:szCs w:val="20"/>
        </w:rPr>
        <w:t>further re-grooving later in the tyre’s life.</w:t>
      </w:r>
    </w:p>
    <w:p w:rsidR="00FE5691" w:rsidRPr="00160338" w:rsidRDefault="00FE5691" w:rsidP="00FE5691">
      <w:pPr>
        <w:rPr>
          <w:b/>
          <w:sz w:val="24"/>
          <w:szCs w:val="20"/>
        </w:rPr>
      </w:pPr>
      <w:r>
        <w:rPr>
          <w:b/>
          <w:sz w:val="24"/>
          <w:szCs w:val="20"/>
        </w:rPr>
        <w:t>Manufacturer’s r</w:t>
      </w:r>
      <w:r w:rsidRPr="00160338">
        <w:rPr>
          <w:b/>
          <w:sz w:val="24"/>
          <w:szCs w:val="20"/>
        </w:rPr>
        <w:t>egrooving patterns</w:t>
      </w:r>
    </w:p>
    <w:p w:rsidR="00FE5691" w:rsidRDefault="00FE5691" w:rsidP="00FE5691">
      <w:pPr>
        <w:rPr>
          <w:szCs w:val="20"/>
        </w:rPr>
      </w:pPr>
      <w:r>
        <w:rPr>
          <w:szCs w:val="20"/>
        </w:rPr>
        <w:t>Click on the hyperlinks below to access the manufacturer’s guidance and regrooving patterns.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0"/>
        <w:gridCol w:w="3139"/>
        <w:gridCol w:w="3127"/>
      </w:tblGrid>
      <w:tr w:rsidR="008E60C1" w:rsidRPr="00FE5691" w:rsidTr="00FE5691">
        <w:tc>
          <w:tcPr>
            <w:tcW w:w="3285" w:type="dxa"/>
          </w:tcPr>
          <w:p w:rsidR="00FE5691" w:rsidRPr="00FE5691" w:rsidRDefault="00A8607A" w:rsidP="00FE5691">
            <w:pPr>
              <w:spacing w:after="0"/>
              <w:rPr>
                <w:szCs w:val="20"/>
              </w:rPr>
            </w:pPr>
            <w:hyperlink r:id="rId7" w:history="1">
              <w:r w:rsidR="00FE5691" w:rsidRPr="00BB5680">
                <w:rPr>
                  <w:rStyle w:val="Hyperlink"/>
                  <w:szCs w:val="20"/>
                </w:rPr>
                <w:t>Bridgestone</w:t>
              </w:r>
            </w:hyperlink>
          </w:p>
        </w:tc>
        <w:tc>
          <w:tcPr>
            <w:tcW w:w="3285" w:type="dxa"/>
          </w:tcPr>
          <w:p w:rsidR="00FE5691" w:rsidRPr="00FE5691" w:rsidRDefault="00A8607A" w:rsidP="00FE5691">
            <w:pPr>
              <w:spacing w:after="0"/>
              <w:rPr>
                <w:szCs w:val="20"/>
              </w:rPr>
            </w:pPr>
            <w:hyperlink r:id="rId8" w:history="1">
              <w:r w:rsidR="00FE5691" w:rsidRPr="00CE01F7">
                <w:rPr>
                  <w:rStyle w:val="Hyperlink"/>
                  <w:szCs w:val="20"/>
                </w:rPr>
                <w:t>Continental</w:t>
              </w:r>
            </w:hyperlink>
          </w:p>
        </w:tc>
        <w:tc>
          <w:tcPr>
            <w:tcW w:w="3285" w:type="dxa"/>
          </w:tcPr>
          <w:p w:rsidR="00FE5691" w:rsidRPr="00FE5691" w:rsidRDefault="00A8607A" w:rsidP="00FE5691">
            <w:pPr>
              <w:spacing w:after="0"/>
              <w:rPr>
                <w:szCs w:val="20"/>
              </w:rPr>
            </w:pPr>
            <w:hyperlink r:id="rId9" w:history="1">
              <w:r>
                <w:rPr>
                  <w:rStyle w:val="Hyperlink"/>
                  <w:szCs w:val="20"/>
                </w:rPr>
                <w:t>Dayton</w:t>
              </w:r>
            </w:hyperlink>
            <w:bookmarkStart w:id="0" w:name="_GoBack"/>
            <w:bookmarkEnd w:id="0"/>
          </w:p>
        </w:tc>
      </w:tr>
      <w:tr w:rsidR="008E60C1" w:rsidRPr="00FE5691" w:rsidTr="00FE5691">
        <w:tc>
          <w:tcPr>
            <w:tcW w:w="3285" w:type="dxa"/>
          </w:tcPr>
          <w:p w:rsidR="00FE5691" w:rsidRPr="00FE5691" w:rsidRDefault="00A8607A" w:rsidP="00FE5691">
            <w:pPr>
              <w:spacing w:after="0"/>
              <w:rPr>
                <w:szCs w:val="20"/>
              </w:rPr>
            </w:pPr>
            <w:hyperlink r:id="rId10" w:history="1">
              <w:r w:rsidR="00FE5691" w:rsidRPr="00BB5680">
                <w:rPr>
                  <w:rStyle w:val="Hyperlink"/>
                  <w:szCs w:val="20"/>
                </w:rPr>
                <w:t>Firestone</w:t>
              </w:r>
            </w:hyperlink>
          </w:p>
        </w:tc>
        <w:tc>
          <w:tcPr>
            <w:tcW w:w="3285" w:type="dxa"/>
          </w:tcPr>
          <w:p w:rsidR="00FE5691" w:rsidRPr="00FE5691" w:rsidRDefault="00A8607A" w:rsidP="00FE5691">
            <w:pPr>
              <w:spacing w:after="0"/>
              <w:rPr>
                <w:szCs w:val="20"/>
              </w:rPr>
            </w:pPr>
            <w:hyperlink r:id="rId11" w:history="1">
              <w:r w:rsidR="00FE5691" w:rsidRPr="00BB5680">
                <w:rPr>
                  <w:rStyle w:val="Hyperlink"/>
                  <w:szCs w:val="20"/>
                </w:rPr>
                <w:t>G</w:t>
              </w:r>
              <w:r w:rsidR="00CE01F7" w:rsidRPr="00BB5680">
                <w:rPr>
                  <w:rStyle w:val="Hyperlink"/>
                  <w:szCs w:val="20"/>
                </w:rPr>
                <w:t>T Radial</w:t>
              </w:r>
            </w:hyperlink>
          </w:p>
        </w:tc>
        <w:tc>
          <w:tcPr>
            <w:tcW w:w="3285" w:type="dxa"/>
          </w:tcPr>
          <w:p w:rsidR="00FE5691" w:rsidRPr="00FE5691" w:rsidRDefault="00A8607A" w:rsidP="00FE5691">
            <w:pPr>
              <w:spacing w:after="0"/>
              <w:rPr>
                <w:szCs w:val="20"/>
              </w:rPr>
            </w:pPr>
            <w:hyperlink r:id="rId12" w:history="1">
              <w:r w:rsidR="00FE5691" w:rsidRPr="00BB5680">
                <w:rPr>
                  <w:rStyle w:val="Hyperlink"/>
                  <w:szCs w:val="20"/>
                </w:rPr>
                <w:t>Goodyear Dunlop</w:t>
              </w:r>
            </w:hyperlink>
          </w:p>
        </w:tc>
      </w:tr>
      <w:tr w:rsidR="008E60C1" w:rsidRPr="00FE5691" w:rsidTr="00FE5691">
        <w:tc>
          <w:tcPr>
            <w:tcW w:w="3285" w:type="dxa"/>
          </w:tcPr>
          <w:p w:rsidR="00FE5691" w:rsidRPr="00FE5691" w:rsidRDefault="00A8607A" w:rsidP="00FE5691">
            <w:pPr>
              <w:spacing w:after="0"/>
              <w:rPr>
                <w:szCs w:val="20"/>
              </w:rPr>
            </w:pPr>
            <w:hyperlink r:id="rId13" w:history="1">
              <w:r w:rsidR="00FE5691" w:rsidRPr="00CE01F7">
                <w:rPr>
                  <w:rStyle w:val="Hyperlink"/>
                  <w:szCs w:val="20"/>
                </w:rPr>
                <w:t>Hankook</w:t>
              </w:r>
            </w:hyperlink>
          </w:p>
        </w:tc>
        <w:tc>
          <w:tcPr>
            <w:tcW w:w="3285" w:type="dxa"/>
          </w:tcPr>
          <w:p w:rsidR="00FE5691" w:rsidRPr="00FE5691" w:rsidRDefault="00A8607A" w:rsidP="00FE5691">
            <w:pPr>
              <w:spacing w:after="0"/>
              <w:rPr>
                <w:szCs w:val="20"/>
              </w:rPr>
            </w:pPr>
            <w:hyperlink r:id="rId14" w:history="1">
              <w:r w:rsidR="00FE5691" w:rsidRPr="00410428">
                <w:rPr>
                  <w:rStyle w:val="Hyperlink"/>
                  <w:szCs w:val="20"/>
                </w:rPr>
                <w:t>Michelin</w:t>
              </w:r>
            </w:hyperlink>
          </w:p>
        </w:tc>
        <w:tc>
          <w:tcPr>
            <w:tcW w:w="3285" w:type="dxa"/>
          </w:tcPr>
          <w:p w:rsidR="00FE5691" w:rsidRPr="00FE5691" w:rsidRDefault="00A8607A" w:rsidP="00FE5691">
            <w:pPr>
              <w:spacing w:after="0"/>
              <w:rPr>
                <w:szCs w:val="20"/>
              </w:rPr>
            </w:pPr>
            <w:hyperlink r:id="rId15" w:history="1">
              <w:r w:rsidR="00FE5691" w:rsidRPr="00BB5680">
                <w:rPr>
                  <w:rStyle w:val="Hyperlink"/>
                  <w:szCs w:val="20"/>
                </w:rPr>
                <w:t>Pirelli</w:t>
              </w:r>
            </w:hyperlink>
          </w:p>
        </w:tc>
      </w:tr>
    </w:tbl>
    <w:p w:rsidR="00FE5691" w:rsidRDefault="00FE5691" w:rsidP="00FE5691">
      <w:pPr>
        <w:spacing w:after="0"/>
        <w:rPr>
          <w:szCs w:val="20"/>
        </w:rPr>
      </w:pPr>
    </w:p>
    <w:p w:rsidR="00FE5691" w:rsidRPr="006F3432" w:rsidRDefault="00FE5691" w:rsidP="00FE5691">
      <w:pPr>
        <w:rPr>
          <w:szCs w:val="20"/>
        </w:rPr>
      </w:pPr>
    </w:p>
    <w:p w:rsidR="00FE5691" w:rsidRPr="00994AF8" w:rsidRDefault="00FE5691" w:rsidP="00994AF8">
      <w:pPr>
        <w:tabs>
          <w:tab w:val="left" w:pos="2805"/>
        </w:tabs>
      </w:pPr>
    </w:p>
    <w:sectPr w:rsidR="00FE5691" w:rsidRPr="00994AF8" w:rsidSect="00855156">
      <w:headerReference w:type="first" r:id="rId16"/>
      <w:footerReference w:type="first" r:id="rId17"/>
      <w:pgSz w:w="11906" w:h="16838"/>
      <w:pgMar w:top="964" w:right="1440" w:bottom="851" w:left="1276" w:header="142" w:footer="7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55" w:rsidRDefault="00752B55" w:rsidP="007A3AC0">
      <w:pPr>
        <w:spacing w:after="0" w:line="240" w:lineRule="auto"/>
      </w:pPr>
      <w:r>
        <w:separator/>
      </w:r>
    </w:p>
  </w:endnote>
  <w:endnote w:type="continuationSeparator" w:id="0">
    <w:p w:rsidR="00752B55" w:rsidRDefault="00752B55" w:rsidP="007A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5B" w:rsidRPr="00E17C83" w:rsidRDefault="00A8607A" w:rsidP="00E17C83">
    <w:pPr>
      <w:spacing w:after="0"/>
      <w:jc w:val="center"/>
      <w:rPr>
        <w:rFonts w:ascii="Arial" w:hAnsi="Arial" w:cs="Arial"/>
        <w:b/>
        <w:i/>
        <w:color w:val="0F243E" w:themeColor="text2" w:themeShade="80"/>
        <w:sz w:val="16"/>
        <w:szCs w:val="18"/>
      </w:rPr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65.7pt;margin-top:-1.05pt;width:596.7pt;height:0;z-index:251657728" o:connectortype="straight" strokecolor="#0f243e" strokeweight=".5pt"/>
      </w:pict>
    </w:r>
    <w:r w:rsidR="001D2A5B" w:rsidRPr="00E17C83">
      <w:rPr>
        <w:rFonts w:ascii="Arial" w:hAnsi="Arial" w:cs="Arial"/>
        <w:b/>
        <w:i/>
        <w:color w:val="0F243E" w:themeColor="text2" w:themeShade="80"/>
        <w:sz w:val="16"/>
        <w:szCs w:val="18"/>
      </w:rPr>
      <w:t>Constituent Associations:</w:t>
    </w:r>
  </w:p>
  <w:p w:rsidR="001D2A5B" w:rsidRPr="00E17C83" w:rsidRDefault="001D2A5B" w:rsidP="00E17C83">
    <w:pPr>
      <w:spacing w:after="0" w:line="240" w:lineRule="auto"/>
      <w:jc w:val="center"/>
      <w:rPr>
        <w:rFonts w:ascii="Arial" w:hAnsi="Arial" w:cs="Arial"/>
        <w:i/>
        <w:color w:val="0F243E" w:themeColor="text2" w:themeShade="80"/>
        <w:sz w:val="16"/>
        <w:szCs w:val="18"/>
      </w:rPr>
    </w:pPr>
    <w:r w:rsidRPr="00E17C83">
      <w:rPr>
        <w:rFonts w:ascii="Arial" w:hAnsi="Arial" w:cs="Arial"/>
        <w:i/>
        <w:color w:val="0F243E" w:themeColor="text2" w:themeShade="80"/>
        <w:sz w:val="16"/>
        <w:szCs w:val="18"/>
      </w:rPr>
      <w:t xml:space="preserve">• British Tyre Manufacturers’ </w:t>
    </w:r>
    <w:proofErr w:type="gramStart"/>
    <w:r w:rsidRPr="00E17C83">
      <w:rPr>
        <w:rFonts w:ascii="Arial" w:hAnsi="Arial" w:cs="Arial"/>
        <w:i/>
        <w:color w:val="0F243E" w:themeColor="text2" w:themeShade="80"/>
        <w:sz w:val="16"/>
        <w:szCs w:val="18"/>
      </w:rPr>
      <w:t>Association  •</w:t>
    </w:r>
    <w:proofErr w:type="gramEnd"/>
    <w:r w:rsidRPr="00E17C83">
      <w:rPr>
        <w:rFonts w:ascii="Arial" w:hAnsi="Arial" w:cs="Arial"/>
        <w:i/>
        <w:color w:val="0F243E" w:themeColor="text2" w:themeShade="80"/>
        <w:sz w:val="16"/>
        <w:szCs w:val="18"/>
      </w:rPr>
      <w:t xml:space="preserve"> Imported Tyre Manufacturers Associatio</w:t>
    </w:r>
    <w:r w:rsidR="00E17C83" w:rsidRPr="00E17C83">
      <w:rPr>
        <w:rFonts w:ascii="Arial" w:hAnsi="Arial" w:cs="Arial"/>
        <w:i/>
        <w:color w:val="0F243E" w:themeColor="text2" w:themeShade="80"/>
        <w:sz w:val="16"/>
        <w:szCs w:val="18"/>
      </w:rPr>
      <w:t>n</w:t>
    </w:r>
  </w:p>
  <w:p w:rsidR="00E17C83" w:rsidRPr="00E17C83" w:rsidRDefault="001D2A5B" w:rsidP="00E17C83">
    <w:pPr>
      <w:spacing w:line="240" w:lineRule="auto"/>
      <w:jc w:val="center"/>
      <w:rPr>
        <w:rFonts w:ascii="Arial" w:hAnsi="Arial" w:cs="Arial"/>
        <w:i/>
        <w:color w:val="0F243E" w:themeColor="text2" w:themeShade="80"/>
        <w:sz w:val="16"/>
        <w:szCs w:val="18"/>
      </w:rPr>
    </w:pPr>
    <w:r w:rsidRPr="00E17C83">
      <w:rPr>
        <w:rFonts w:ascii="Arial" w:hAnsi="Arial" w:cs="Arial"/>
        <w:i/>
        <w:color w:val="0F243E" w:themeColor="text2" w:themeShade="80"/>
        <w:sz w:val="16"/>
        <w:szCs w:val="18"/>
      </w:rPr>
      <w:t xml:space="preserve">• National Tyre Distributors </w:t>
    </w:r>
    <w:proofErr w:type="gramStart"/>
    <w:r w:rsidRPr="00E17C83">
      <w:rPr>
        <w:rFonts w:ascii="Arial" w:hAnsi="Arial" w:cs="Arial"/>
        <w:i/>
        <w:color w:val="0F243E" w:themeColor="text2" w:themeShade="80"/>
        <w:sz w:val="16"/>
        <w:szCs w:val="18"/>
      </w:rPr>
      <w:t>Association  •</w:t>
    </w:r>
    <w:proofErr w:type="gramEnd"/>
    <w:r w:rsidRPr="00E17C83">
      <w:rPr>
        <w:rFonts w:ascii="Arial" w:hAnsi="Arial" w:cs="Arial"/>
        <w:i/>
        <w:color w:val="0F243E" w:themeColor="text2" w:themeShade="80"/>
        <w:sz w:val="16"/>
        <w:szCs w:val="18"/>
      </w:rPr>
      <w:t xml:space="preserve"> Retread Manufacturers Association  • Tyre Recovery Association</w:t>
    </w:r>
  </w:p>
  <w:p w:rsidR="00E17C83" w:rsidRPr="00E17C83" w:rsidRDefault="00E17C83" w:rsidP="00E17C83">
    <w:pPr>
      <w:spacing w:after="0"/>
      <w:jc w:val="center"/>
      <w:rPr>
        <w:rFonts w:ascii="Arial" w:hAnsi="Arial" w:cs="Arial"/>
        <w:color w:val="0F243E" w:themeColor="text2" w:themeShade="80"/>
        <w:sz w:val="16"/>
        <w:szCs w:val="18"/>
      </w:rPr>
    </w:pPr>
    <w:r w:rsidRPr="00E17C83">
      <w:rPr>
        <w:rFonts w:ascii="Arial" w:hAnsi="Arial" w:cs="Arial"/>
        <w:color w:val="0F243E" w:themeColor="text2" w:themeShade="80"/>
        <w:sz w:val="16"/>
        <w:szCs w:val="18"/>
      </w:rPr>
      <w:t xml:space="preserve"> </w:t>
    </w:r>
    <w:proofErr w:type="spellStart"/>
    <w:r w:rsidR="000A3D2F">
      <w:rPr>
        <w:rFonts w:ascii="Arial" w:hAnsi="Arial" w:cs="Arial"/>
        <w:color w:val="0F243E" w:themeColor="text2" w:themeShade="80"/>
        <w:sz w:val="16"/>
        <w:szCs w:val="18"/>
      </w:rPr>
      <w:t>Peershaws</w:t>
    </w:r>
    <w:proofErr w:type="spellEnd"/>
    <w:r w:rsidR="000A3D2F">
      <w:rPr>
        <w:rFonts w:ascii="Arial" w:hAnsi="Arial" w:cs="Arial"/>
        <w:color w:val="0F243E" w:themeColor="text2" w:themeShade="80"/>
        <w:sz w:val="16"/>
        <w:szCs w:val="18"/>
      </w:rPr>
      <w:t xml:space="preserve">, </w:t>
    </w:r>
    <w:r w:rsidR="007F414C">
      <w:rPr>
        <w:rFonts w:ascii="Arial" w:hAnsi="Arial" w:cs="Arial"/>
        <w:color w:val="0F243E" w:themeColor="text2" w:themeShade="80"/>
        <w:sz w:val="16"/>
        <w:szCs w:val="18"/>
      </w:rPr>
      <w:t>Berewyk Hall Court, White C</w:t>
    </w:r>
    <w:r w:rsidR="00683806">
      <w:rPr>
        <w:rFonts w:ascii="Arial" w:hAnsi="Arial" w:cs="Arial"/>
        <w:color w:val="0F243E" w:themeColor="text2" w:themeShade="80"/>
        <w:sz w:val="16"/>
        <w:szCs w:val="18"/>
      </w:rPr>
      <w:t>olne, Colchester, Essex, CO6 2QB</w:t>
    </w:r>
    <w:r w:rsidR="007F414C">
      <w:rPr>
        <w:rFonts w:ascii="Arial" w:hAnsi="Arial" w:cs="Arial"/>
        <w:color w:val="0F243E" w:themeColor="text2" w:themeShade="80"/>
        <w:sz w:val="16"/>
        <w:szCs w:val="18"/>
      </w:rPr>
      <w:t xml:space="preserve">   Tel: 01787 226995</w:t>
    </w:r>
    <w:r w:rsidR="00357911">
      <w:rPr>
        <w:rFonts w:ascii="Arial" w:hAnsi="Arial" w:cs="Arial"/>
        <w:color w:val="0F243E" w:themeColor="text2" w:themeShade="80"/>
        <w:sz w:val="16"/>
        <w:szCs w:val="18"/>
      </w:rPr>
      <w:t xml:space="preserve">   Fax: 0845 3016853</w:t>
    </w:r>
  </w:p>
  <w:p w:rsidR="001D2A5B" w:rsidRPr="00E17C83" w:rsidRDefault="001D2A5B" w:rsidP="00E17C83">
    <w:pPr>
      <w:spacing w:after="0" w:line="240" w:lineRule="auto"/>
      <w:jc w:val="center"/>
      <w:rPr>
        <w:rFonts w:ascii="Arial" w:hAnsi="Arial" w:cs="Arial"/>
        <w:color w:val="0F243E" w:themeColor="text2" w:themeShade="80"/>
        <w:sz w:val="16"/>
        <w:szCs w:val="18"/>
      </w:rPr>
    </w:pPr>
    <w:r w:rsidRPr="00E17C83">
      <w:rPr>
        <w:rFonts w:ascii="Arial" w:hAnsi="Arial" w:cs="Arial"/>
        <w:color w:val="0F243E" w:themeColor="text2" w:themeShade="80"/>
        <w:sz w:val="16"/>
        <w:szCs w:val="18"/>
      </w:rPr>
      <w:t>Secretary: G C Willson</w:t>
    </w:r>
    <w:r w:rsidRPr="00E17C83">
      <w:rPr>
        <w:rFonts w:ascii="Arial" w:hAnsi="Arial" w:cs="Arial"/>
        <w:color w:val="0F243E" w:themeColor="text2" w:themeShade="80"/>
        <w:sz w:val="16"/>
        <w:szCs w:val="18"/>
      </w:rPr>
      <w:tab/>
    </w:r>
    <w:r w:rsidRPr="00E17C83">
      <w:rPr>
        <w:rFonts w:ascii="Arial" w:hAnsi="Arial" w:cs="Arial"/>
        <w:color w:val="0F243E" w:themeColor="text2" w:themeShade="80"/>
        <w:sz w:val="16"/>
        <w:szCs w:val="18"/>
      </w:rPr>
      <w:tab/>
    </w:r>
    <w:r w:rsidRPr="00E17C83">
      <w:rPr>
        <w:rFonts w:ascii="Arial" w:hAnsi="Arial" w:cs="Arial"/>
        <w:color w:val="0F243E" w:themeColor="text2" w:themeShade="80"/>
        <w:sz w:val="16"/>
        <w:szCs w:val="18"/>
      </w:rPr>
      <w:tab/>
    </w:r>
    <w:r w:rsidRPr="00E17C83">
      <w:rPr>
        <w:rFonts w:ascii="Arial" w:hAnsi="Arial" w:cs="Arial"/>
        <w:color w:val="0F243E" w:themeColor="text2" w:themeShade="80"/>
        <w:sz w:val="16"/>
        <w:szCs w:val="18"/>
      </w:rPr>
      <w:tab/>
      <w:t>Certificate of Incorporation No: 5333857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55" w:rsidRDefault="00752B55" w:rsidP="007A3AC0">
      <w:pPr>
        <w:spacing w:after="0" w:line="240" w:lineRule="auto"/>
      </w:pPr>
      <w:r>
        <w:separator/>
      </w:r>
    </w:p>
  </w:footnote>
  <w:footnote w:type="continuationSeparator" w:id="0">
    <w:p w:rsidR="00752B55" w:rsidRDefault="00752B55" w:rsidP="007A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5B" w:rsidRDefault="00A8607A" w:rsidP="00994AF8">
    <w:pPr>
      <w:pStyle w:val="Header"/>
      <w:ind w:left="-851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77.75pt;margin-top:65.65pt;width:195pt;height:36.75pt;z-index:251658752;mso-width-relative:margin;mso-height-relative:margin" stroked="f">
          <v:fill opacity="0"/>
          <v:textbox style="mso-next-textbox:#_x0000_s2051">
            <w:txbxContent>
              <w:p w:rsidR="00FE5691" w:rsidRPr="00FE5691" w:rsidRDefault="00FE5691" w:rsidP="00FE5691">
                <w:pPr>
                  <w:rPr>
                    <w:color w:val="002060"/>
                  </w:rPr>
                </w:pPr>
                <w:r w:rsidRPr="00FE5691">
                  <w:rPr>
                    <w:b/>
                    <w:color w:val="002060"/>
                    <w:sz w:val="24"/>
                  </w:rPr>
                  <w:t>Tyre Technical Advisory Committee</w:t>
                </w:r>
                <w:r w:rsidRPr="00FE5691">
                  <w:rPr>
                    <w:color w:val="002060"/>
                    <w:sz w:val="24"/>
                  </w:rPr>
                  <w:t xml:space="preserve"> </w:t>
                </w:r>
                <w:r w:rsidRPr="00FE5691">
                  <w:rPr>
                    <w:color w:val="002060"/>
                    <w:sz w:val="18"/>
                  </w:rPr>
                  <w:t>Issued: 13/06/2017            Reviewed:</w:t>
                </w:r>
              </w:p>
            </w:txbxContent>
          </v:textbox>
        </v:shape>
      </w:pict>
    </w:r>
    <w:r w:rsidR="00FE5691">
      <w:rPr>
        <w:noProof/>
        <w:lang w:eastAsia="en-GB"/>
      </w:rPr>
      <w:drawing>
        <wp:inline distT="0" distB="0" distL="0" distR="0">
          <wp:extent cx="3872230" cy="1359535"/>
          <wp:effectExtent l="19050" t="0" r="0" b="0"/>
          <wp:docPr id="2" name="Picture 1" descr="TIF logo final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F logo final vers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230" cy="135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enu v:ext="edit" strokecolor="none [1615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AC0"/>
    <w:rsid w:val="00055E83"/>
    <w:rsid w:val="000822AA"/>
    <w:rsid w:val="000834F7"/>
    <w:rsid w:val="000A3D2F"/>
    <w:rsid w:val="000C1F8E"/>
    <w:rsid w:val="001D2A5B"/>
    <w:rsid w:val="001E3C33"/>
    <w:rsid w:val="00357911"/>
    <w:rsid w:val="0040207F"/>
    <w:rsid w:val="00410428"/>
    <w:rsid w:val="00465D05"/>
    <w:rsid w:val="004A75EB"/>
    <w:rsid w:val="005D347E"/>
    <w:rsid w:val="005F130F"/>
    <w:rsid w:val="005F6731"/>
    <w:rsid w:val="00641E27"/>
    <w:rsid w:val="00683806"/>
    <w:rsid w:val="00696B4B"/>
    <w:rsid w:val="006E4757"/>
    <w:rsid w:val="00732ABB"/>
    <w:rsid w:val="00752B55"/>
    <w:rsid w:val="007717C0"/>
    <w:rsid w:val="007A3AC0"/>
    <w:rsid w:val="007F414C"/>
    <w:rsid w:val="00855156"/>
    <w:rsid w:val="008665B0"/>
    <w:rsid w:val="008B5D6E"/>
    <w:rsid w:val="008E60C1"/>
    <w:rsid w:val="00915DAF"/>
    <w:rsid w:val="00931B09"/>
    <w:rsid w:val="00994AF8"/>
    <w:rsid w:val="009B1D9F"/>
    <w:rsid w:val="00A2767E"/>
    <w:rsid w:val="00A65252"/>
    <w:rsid w:val="00A8607A"/>
    <w:rsid w:val="00A95228"/>
    <w:rsid w:val="00B26D7F"/>
    <w:rsid w:val="00BB5680"/>
    <w:rsid w:val="00BD3B7D"/>
    <w:rsid w:val="00C67658"/>
    <w:rsid w:val="00C71212"/>
    <w:rsid w:val="00CE01F7"/>
    <w:rsid w:val="00D023B6"/>
    <w:rsid w:val="00D24C2E"/>
    <w:rsid w:val="00D8368B"/>
    <w:rsid w:val="00E17C83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 [1615]"/>
    </o:shapedefaults>
    <o:shapelayout v:ext="edit">
      <o:idmap v:ext="edit" data="1"/>
    </o:shapelayout>
  </w:shapeDefaults>
  <w:decimalSymbol w:val="."/>
  <w:listSeparator w:val=","/>
  <w15:docId w15:val="{C7119E55-ABB0-4637-8DAD-E9D70AA6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C0"/>
  </w:style>
  <w:style w:type="paragraph" w:styleId="Footer">
    <w:name w:val="footer"/>
    <w:basedOn w:val="Normal"/>
    <w:link w:val="FooterChar"/>
    <w:uiPriority w:val="99"/>
    <w:unhideWhenUsed/>
    <w:rsid w:val="007A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C0"/>
  </w:style>
  <w:style w:type="paragraph" w:styleId="BalloonText">
    <w:name w:val="Balloon Text"/>
    <w:basedOn w:val="Normal"/>
    <w:link w:val="BalloonTextChar"/>
    <w:uiPriority w:val="99"/>
    <w:semiHidden/>
    <w:unhideWhenUsed/>
    <w:rsid w:val="007A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C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26D7F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6D7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FE56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E0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nental-tires.com/transport" TargetMode="External"/><Relationship Id="rId13" Type="http://schemas.openxmlformats.org/officeDocument/2006/relationships/hyperlink" Target="http://www.hankooktire.com/uk/truck-bus/supports/technical-manual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yreindustryfederation.co.uk/wp-content/uploads/2017/06/Bridgestone-BS-TBR-Regrooving-Data-2016.pdf" TargetMode="External"/><Relationship Id="rId12" Type="http://schemas.openxmlformats.org/officeDocument/2006/relationships/hyperlink" Target="http://tyreindustryfederation.co.uk/wp-content/uploads/2017/06/Goodyear-Truck-Regroove-2016.pd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yreindustryfederation.co.uk/wp-content/uploads/2017/06/GT-Radial-Regrooving-Bookle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yreindustryfederation.co.uk/wp-content/uploads/2017/06/Pirelli-Truck-Bus-Tyre-Regrooving-Brochure-2.pdf" TargetMode="External"/><Relationship Id="rId10" Type="http://schemas.openxmlformats.org/officeDocument/2006/relationships/hyperlink" Target="http://tyreindustryfederation.co.uk/wp-content/uploads/2017/06/Bridgestone-FS-TBR-Regrooving-Data-2016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tyreindustryfederation.co.uk/wp-content/uploads/2017/06/Bridgestone-DY-TBR-Regrooving-Data-2016.pdf" TargetMode="External"/><Relationship Id="rId14" Type="http://schemas.openxmlformats.org/officeDocument/2006/relationships/hyperlink" Target="http://trucks.micheli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Willson</dc:creator>
  <cp:lastModifiedBy>Courtney Hicks</cp:lastModifiedBy>
  <cp:revision>6</cp:revision>
  <cp:lastPrinted>2009-06-22T13:43:00Z</cp:lastPrinted>
  <dcterms:created xsi:type="dcterms:W3CDTF">2017-06-12T14:31:00Z</dcterms:created>
  <dcterms:modified xsi:type="dcterms:W3CDTF">2017-06-14T13:22:00Z</dcterms:modified>
</cp:coreProperties>
</file>